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839BA" w:rsidRPr="009839BA" w14:paraId="73E89912" w14:textId="77777777" w:rsidTr="00B21F34">
        <w:trPr>
          <w:trHeight w:val="1587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FDC15" w14:textId="77777777" w:rsidR="009839BA" w:rsidRPr="009839BA" w:rsidRDefault="009839BA" w:rsidP="009839BA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839BA">
              <w:rPr>
                <w:rFonts w:ascii="Arial" w:eastAsia="굴림" w:hAnsi="굴림" w:cs="굴림"/>
                <w:b/>
                <w:bCs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 wp14:anchorId="5547C0E9" wp14:editId="3CC09D5C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B077D" w14:textId="77777777" w:rsidR="00B21F34" w:rsidRDefault="009839BA" w:rsidP="002C6D50">
            <w:pPr>
              <w:snapToGrid w:val="0"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7F7F7F"/>
                <w:kern w:val="0"/>
                <w:sz w:val="26"/>
                <w:szCs w:val="26"/>
              </w:rPr>
            </w:pPr>
            <w:proofErr w:type="spellStart"/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데이터융복합</w:t>
            </w:r>
            <w:proofErr w:type="spellEnd"/>
            <w:r w:rsidR="00C33659">
              <w:rPr>
                <w:rFonts w:ascii="Calibri" w:eastAsia="맑은 고딕" w:hAnsi="Calibri" w:cs="Calibri"/>
                <w:b/>
                <w:bCs/>
                <w:color w:val="7F7F7F"/>
                <w:kern w:val="0"/>
                <w:sz w:val="26"/>
                <w:szCs w:val="26"/>
              </w:rPr>
              <w:t>∙</w:t>
            </w:r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소비자리서치 전문 연구기관</w:t>
            </w:r>
          </w:p>
          <w:p w14:paraId="736B3BF8" w14:textId="77777777" w:rsidR="009839BA" w:rsidRPr="009839BA" w:rsidRDefault="009839BA" w:rsidP="002C6D50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9839BA" w:rsidRPr="009839BA" w14:paraId="240737D9" w14:textId="77777777" w:rsidTr="005639B6">
        <w:trPr>
          <w:trHeight w:val="454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3D452AAB" w14:textId="77777777"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2C7F3" w14:textId="77777777"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313D8959" w14:textId="77777777"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AED88" w14:textId="5C984244" w:rsidR="009839BA" w:rsidRPr="009839BA" w:rsidRDefault="009C1297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sammy.</w:t>
            </w:r>
            <w:r w:rsidR="00AE46E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</w:t>
            </w:r>
            <w:r w:rsidR="007620A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839BA" w:rsidRPr="009839BA" w14:paraId="2C7029CA" w14:textId="77777777" w:rsidTr="005639B6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3F65793" w14:textId="77777777"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A70C7" w14:textId="4A03F71F" w:rsidR="009839BA" w:rsidRPr="00F30C39" w:rsidRDefault="009C1297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박승표 </w:t>
            </w:r>
            <w:r w:rsidR="005B306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6155BFB" w14:textId="77777777"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69648" w14:textId="5BEB4C66" w:rsidR="009839BA" w:rsidRPr="009839BA" w:rsidRDefault="009839BA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AE46E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9839BA" w:rsidRPr="009839BA" w14:paraId="1DFFE05A" w14:textId="77777777" w:rsidTr="005639B6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5FFF7DB" w14:textId="77777777"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485B8" w14:textId="3EF2355F"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2127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="009847E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7620A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AF102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22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AF102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F1AB2AC" w14:textId="77777777"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52741" w14:textId="5FE2DC8E" w:rsidR="009839BA" w:rsidRPr="009839BA" w:rsidRDefault="00AE46E3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총 </w:t>
            </w:r>
            <w:r w:rsidR="00ED52A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9839BA"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</w:tbl>
    <w:p w14:paraId="7DD70D95" w14:textId="77777777" w:rsidR="00434D92" w:rsidRDefault="00434D92" w:rsidP="00434D92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434D92" w14:paraId="4BCAE69E" w14:textId="77777777" w:rsidTr="00434D92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0FCD9" w14:textId="77777777" w:rsidR="00434D92" w:rsidRDefault="00434D9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0E413" w14:textId="7C2C319B" w:rsidR="00434D92" w:rsidRPr="00EF4E7F" w:rsidRDefault="00434D9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EF4E7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 제2</w:t>
            </w:r>
            <w:r w:rsidRPr="00EF4E7F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4</w:t>
            </w:r>
            <w:r w:rsidRPr="00EF4E7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차(2</w:t>
            </w:r>
            <w:r w:rsidRPr="00EF4E7F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3</w:t>
            </w:r>
            <w:r w:rsidRPr="00EF4E7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-2</w:t>
            </w:r>
            <w:r w:rsidRPr="00EF4E7F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4</w:t>
            </w:r>
            <w:r w:rsidRPr="00EF4E7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년도) 연례 자동차기획조사 리포트 </w:t>
            </w:r>
            <w:r w:rsidR="0034663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⑤</w:t>
            </w:r>
            <w:r w:rsidR="0018590E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34663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올해의 차</w:t>
            </w:r>
          </w:p>
          <w:p w14:paraId="381AA58A" w14:textId="2D8CDD1D" w:rsidR="00434D92" w:rsidRPr="00A96397" w:rsidRDefault="0034663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C75252"/>
                <w:kern w:val="0"/>
                <w:sz w:val="36"/>
                <w:szCs w:val="36"/>
              </w:rPr>
            </w:pPr>
            <w:r w:rsidRPr="00A96397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6"/>
                <w:szCs w:val="36"/>
              </w:rPr>
              <w:t>기아</w:t>
            </w:r>
            <w:r w:rsidRPr="00A96397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 xml:space="preserve"> '</w:t>
            </w:r>
            <w:proofErr w:type="spellStart"/>
            <w:r w:rsidRPr="00A96397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>니로</w:t>
            </w:r>
            <w:proofErr w:type="spellEnd"/>
            <w:r w:rsidRPr="00A96397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>(SG2)</w:t>
            </w:r>
            <w:bookmarkStart w:id="0" w:name="_GoBack"/>
            <w:bookmarkEnd w:id="0"/>
            <w:r w:rsidRPr="00A96397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6"/>
                <w:szCs w:val="36"/>
              </w:rPr>
              <w:t>', 소비자가 뽑은 ‘올해의 차’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63B1" w14:textId="77777777" w:rsidR="00434D92" w:rsidRDefault="00434D9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40F65EDC" w14:textId="77777777" w:rsidR="00434D92" w:rsidRDefault="00434D9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46A1E494" w14:textId="77777777" w:rsidR="00434D92" w:rsidRDefault="00434D9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434D92" w14:paraId="6DF0AFFB" w14:textId="77777777" w:rsidTr="00434D92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E27F8" w14:textId="77777777" w:rsidR="00434D92" w:rsidRDefault="00434D9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4E503680" w14:textId="77777777" w:rsidR="00434D92" w:rsidRDefault="00434D9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/>
                <w:color w:val="C75252"/>
                <w:kern w:val="0"/>
                <w:szCs w:val="20"/>
              </w:rPr>
              <w:t xml:space="preserve"> 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6755C" w14:textId="1B605C85" w:rsidR="0034663C" w:rsidRPr="0034663C" w:rsidRDefault="00434D92" w:rsidP="0034663C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- </w:t>
            </w:r>
            <w:proofErr w:type="spellStart"/>
            <w:r w:rsidR="0034663C"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새차</w:t>
            </w:r>
            <w:proofErr w:type="spellEnd"/>
            <w:r w:rsidR="0034663C"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구입 1년내 실소비자의 체험만족도 3개 분야 조사</w:t>
            </w:r>
          </w:p>
          <w:p w14:paraId="0DF14010" w14:textId="5ACA13B6" w:rsidR="0034663C" w:rsidRPr="0034663C" w:rsidRDefault="0034663C" w:rsidP="0034663C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니로</w:t>
            </w:r>
            <w:proofErr w:type="spellEnd"/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, 초기품질·비용대비가치 최고 평가 힘입어 종합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1위</w:t>
            </w:r>
          </w:p>
          <w:p w14:paraId="7B33602E" w14:textId="15630C34" w:rsidR="0034663C" w:rsidRPr="0034663C" w:rsidRDefault="0034663C" w:rsidP="0034663C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- 국산차는 ‘그랜저 HEV’(세단), ‘스포티지 HEV(SUV) 1위</w:t>
            </w:r>
          </w:p>
          <w:p w14:paraId="4C2F5496" w14:textId="77777777" w:rsidR="00434D92" w:rsidRDefault="0034663C" w:rsidP="0034663C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수입 세단은 렉서스 ‘ES’, SUV는 </w:t>
            </w:r>
            <w:proofErr w:type="spellStart"/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토요타</w:t>
            </w:r>
            <w:proofErr w:type="spellEnd"/>
            <w:r w:rsidRPr="0034663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‘RAV4’ 선정돼</w:t>
            </w:r>
          </w:p>
          <w:p w14:paraId="42662599" w14:textId="03B52A3C" w:rsidR="003C2F75" w:rsidRDefault="003C2F75" w:rsidP="0034663C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현대차그룹과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토요타그룹의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하이브리드 모델이 싹쓸이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D3D97" w14:textId="31C0A87B" w:rsidR="00434D92" w:rsidRDefault="003C2F75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>
              <w:rPr>
                <w:rFonts w:ascii="Arial" w:eastAsia="굴림" w:hAnsi="굴림" w:cs="굴림"/>
                <w:color w:val="C75252"/>
                <w:kern w:val="0"/>
                <w:szCs w:val="20"/>
              </w:rPr>
              <w:t xml:space="preserve"> </w:t>
            </w:r>
            <w:r w:rsidR="00434D92">
              <w:rPr>
                <w:rFonts w:ascii="Arial" w:eastAsia="굴림" w:hAnsi="굴림" w:cs="굴림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0D7C1D6F" w14:textId="77777777" w:rsidR="003C2F75" w:rsidRPr="003C2F75" w:rsidRDefault="003C2F75" w:rsidP="0034663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14:paraId="67FEA31E" w14:textId="397C8618" w:rsidR="0034663C" w:rsidRPr="0034663C" w:rsidRDefault="00A4134D" w:rsidP="0034663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4134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4134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4663C" w:rsidRPr="0034663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기아</w:t>
      </w:r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'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니로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(SG2)'가 자동차 소비자의 실제 사용 경험을 토대로 평가한 컨슈머인사이트 ‘2024 올해의 차’에 선정됐다. 부문별로 국산 세단은 현대차 ‘그랜저 하이브리드(GN7)’가, SUV는 기아 ‘올 뉴 스포티지 하이브리드</w:t>
      </w:r>
      <w:r w:rsidR="004E3A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NQ5)</w:t>
      </w:r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’가 뽑혔고, 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중 세단은 렉서스 ‘ES’가, SUV는 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토요타의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‘RAV4’가 차지했다.</w:t>
      </w:r>
    </w:p>
    <w:p w14:paraId="5676CC45" w14:textId="41EC53D3" w:rsidR="00A4134D" w:rsidRPr="00A4134D" w:rsidRDefault="00A4134D" w:rsidP="0034663C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413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</w:t>
      </w:r>
      <w:r w:rsidR="0034663C" w:rsidRPr="0034663C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리서치 전문기관 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시작해 올해 제24차를 맞은 ‘연례 자동차 기획조사(매년 7월 10만명 대상)’에서 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새차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구입 후 1년 이내(23년 7월~24년 6월)인 소비자에게 △초기품질(TGW-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i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) △상품성(TGR) △비용대비가치(VFM)를 평가하게 하고 이를 종합해 소비자 관점에서 본 ‘올해의 차’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를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선정했다. 올해 평가 대상 모델 중 응답자 </w:t>
      </w:r>
      <w:proofErr w:type="spellStart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사례수</w:t>
      </w:r>
      <w:proofErr w:type="spellEnd"/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 xml:space="preserve"> 30 이상의 </w:t>
      </w:r>
      <w:r w:rsidR="00F13154">
        <w:rPr>
          <w:rFonts w:ascii="맑은 고딕" w:eastAsia="맑은 고딕" w:hAnsi="맑은 고딕" w:cs="굴림"/>
          <w:color w:val="000000"/>
          <w:kern w:val="0"/>
          <w:szCs w:val="20"/>
        </w:rPr>
        <w:t>64</w:t>
      </w:r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개 모델</w:t>
      </w:r>
      <w:r w:rsidR="00F1315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(국산 </w:t>
      </w:r>
      <w:r w:rsidR="003C2F75">
        <w:rPr>
          <w:rFonts w:ascii="맑은 고딕" w:eastAsia="맑은 고딕" w:hAnsi="맑은 고딕" w:cs="굴림"/>
          <w:color w:val="000000"/>
          <w:kern w:val="0"/>
          <w:szCs w:val="20"/>
        </w:rPr>
        <w:t xml:space="preserve">44, </w:t>
      </w:r>
      <w:r w:rsidR="003C2F7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수입 </w:t>
      </w:r>
      <w:r w:rsidR="003C2F75">
        <w:rPr>
          <w:rFonts w:ascii="맑은 고딕" w:eastAsia="맑은 고딕" w:hAnsi="맑은 고딕" w:cs="굴림"/>
          <w:color w:val="000000"/>
          <w:kern w:val="0"/>
          <w:szCs w:val="20"/>
        </w:rPr>
        <w:t>20</w:t>
      </w:r>
      <w:r w:rsidR="003C2F75">
        <w:rPr>
          <w:rFonts w:ascii="맑은 고딕" w:eastAsia="맑은 고딕" w:hAnsi="맑은 고딕" w:cs="굴림" w:hint="eastAsia"/>
          <w:color w:val="000000"/>
          <w:kern w:val="0"/>
          <w:szCs w:val="20"/>
        </w:rPr>
        <w:t>개</w:t>
      </w:r>
      <w:r w:rsidR="00F13154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34663C" w:rsidRPr="0034663C">
        <w:rPr>
          <w:rFonts w:ascii="맑은 고딕" w:eastAsia="맑은 고딕" w:hAnsi="맑은 고딕" w:cs="굴림"/>
          <w:color w:val="000000"/>
          <w:kern w:val="0"/>
          <w:szCs w:val="20"/>
        </w:rPr>
        <w:t>을 비교한 결과다.</w:t>
      </w:r>
    </w:p>
    <w:p w14:paraId="2E64E00D" w14:textId="77777777" w:rsidR="00A4134D" w:rsidRPr="00A4134D" w:rsidRDefault="00A4134D" w:rsidP="00A4134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6EF420F2" w14:textId="6A8BD89A" w:rsidR="00A4134D" w:rsidRPr="00A4134D" w:rsidRDefault="00A4134D" w:rsidP="00A4134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4134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3C2F7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렉서스</w:t>
      </w:r>
      <w:r w:rsidR="00A9399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A9399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ES</w:t>
      </w:r>
      <w:r w:rsidR="003C2F7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아성 </w:t>
      </w:r>
      <w:r w:rsidR="003C2F7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5</w:t>
      </w:r>
      <w:r w:rsidR="003C2F7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년만에 깨</w:t>
      </w:r>
      <w:r w:rsidR="00A9399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져</w:t>
      </w:r>
    </w:p>
    <w:p w14:paraId="1D0031D3" w14:textId="1869A0AC" w:rsidR="004E3AB3" w:rsidRPr="004E3AB3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E3A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2024 올해의 차로 선정된 기아 '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니로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(SG2)'는 평가 기준 3개</w:t>
      </w:r>
      <w:r w:rsidR="003C2F7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항목 모두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에서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∙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r w:rsidR="003C2F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통틀어 최상급 평가를 받았다. 초기품질, 비용대비가치에서 1위, 상품성에서는 2위였다. 소형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차급의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SUV로, 비용대비가치는 물론 초기품질과 상품성에서도 최고 수준의 평가를 받았다는 점에서 주목된다. 지난 </w:t>
      </w:r>
      <w:r w:rsidR="003C2F7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년간 올해의 차를 독점해온 렉서스 </w:t>
      </w:r>
      <w:r w:rsidR="003C2F7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ES</w:t>
      </w:r>
      <w:r w:rsidR="003C2F7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의 아성을 넘어 국산 브랜드의 자존심을 되찾았다는 의미도 크다.</w:t>
      </w:r>
    </w:p>
    <w:p w14:paraId="2B84347C" w14:textId="53FAC348" w:rsidR="004E3AB3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622791F" w14:textId="6F08D274" w:rsidR="004E3AB3" w:rsidRDefault="00081258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407EAD3E" wp14:editId="08ECD340">
            <wp:extent cx="6188710" cy="3397885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_2004 올해의 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249A7" w14:textId="77777777" w:rsidR="004E3AB3" w:rsidRPr="004E3AB3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9DE41CE" w14:textId="14551F31" w:rsidR="004E3AB3" w:rsidRPr="004E3AB3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E3A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국산과 수입차를 각각 세단과 SUV로 나눠 선정한 부문별 1위도 대거 새 모델로 교체됐다.</w:t>
      </w:r>
      <w:r w:rsidR="0017352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국산 세단 부문의 현대차 ‘그랜저 하이브리드(GN7)’는 상품성에서, SUV 부문의 기아 ‘스포티지 하이브리드'는 초기품질에서 특히 우수한 평가를 받았다. 3개 평가 </w:t>
      </w:r>
      <w:r w:rsidR="00ED52A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측면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에서 빠지는 것 없이 고르게 높은 만족도를 얻었다는 것도 공통점이다.</w:t>
      </w:r>
    </w:p>
    <w:p w14:paraId="639314D6" w14:textId="764EC185" w:rsidR="00176581" w:rsidRPr="00176581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E3A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수입 세단 부문의 렉서스 'ES'와 SUV 부문의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토요타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‘RAV4’ 역시 모든 측면에서 </w:t>
      </w:r>
      <w:r w:rsidR="003C2F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최상위권(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2~7위</w:t>
      </w:r>
      <w:r w:rsidR="003C2F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 들</w:t>
      </w:r>
      <w:r w:rsidR="000E0A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었</w:t>
      </w:r>
      <w:r w:rsidR="003C2F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특히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준중형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이상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차급임에도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비용대비가치 만족도에서 둘 다 톱3에 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속했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 새로 올해의 차가 된 '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니로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(SG2)'와 종합 평가 점수</w:t>
      </w:r>
      <w:r w:rsidR="00A9639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E24A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근소한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차이</w:t>
      </w:r>
      <w:r w:rsidR="00E24A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각각</w:t>
      </w:r>
      <w:r w:rsidR="00ED52A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24AA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E24A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E24AA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2</w:t>
      </w:r>
      <w:r w:rsidR="00E24A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위를 차지해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토요타그룹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브랜드의 저력이 확인된다.</w:t>
      </w:r>
    </w:p>
    <w:p w14:paraId="59CD0F2F" w14:textId="2ACC73B7" w:rsidR="00E00EB7" w:rsidRDefault="00E00EB7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6CECB09" w14:textId="587211B9" w:rsidR="00E00EB7" w:rsidRPr="00A4134D" w:rsidRDefault="00E00EB7" w:rsidP="00E00E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4134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2033B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실소비자의 </w:t>
      </w:r>
      <w:proofErr w:type="spellStart"/>
      <w:r w:rsidR="002033B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체험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∙</w:t>
      </w:r>
      <w:r w:rsidR="002033B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체감</w:t>
      </w:r>
      <w:proofErr w:type="spellEnd"/>
      <w:r w:rsidR="002033B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품질 평가 반영</w:t>
      </w:r>
    </w:p>
    <w:p w14:paraId="50CF7EE4" w14:textId="569ACD08" w:rsidR="004E3AB3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E3A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올해의 차와 부문별 1위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모두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하이브리드 또는 하이브리드가 주력인 모델이다. 국산은 현대차그룹, 수입은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토요타그룹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proofErr w:type="spellEnd"/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싹쓸이했다.</w:t>
      </w:r>
      <w:r w:rsidR="0017352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하이브리드차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개발에 </w:t>
      </w:r>
      <w:r w:rsidR="003C2F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노하우를 갖춘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한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∙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일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735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대표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자동차그룹이 석권한 것</w:t>
      </w:r>
      <w:r w:rsidR="003C2F7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우연이 아니다. 자동차 이용자의 선호와 시장의 트렌드가 어디로 향하고 있는지 시사점을 던져 준다.</w:t>
      </w:r>
    </w:p>
    <w:p w14:paraId="0BB88DEA" w14:textId="0BE37975" w:rsidR="00176581" w:rsidRPr="004E3AB3" w:rsidRDefault="00176581" w:rsidP="00146F8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 하이브리드</w:t>
      </w:r>
      <w:r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외 모델 중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에는</w:t>
      </w:r>
      <w:r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작년 수입 세단과 </w:t>
      </w:r>
      <w:r w:rsidR="00EC5C7F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SUV 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부문에서 각각 </w:t>
      </w:r>
      <w:r w:rsidR="00EC5C7F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위였던 볼보 </w:t>
      </w:r>
      <w:r w:rsidR="00EC5C7F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lastRenderedPageBreak/>
        <w:t>‘S90’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proofErr w:type="spellStart"/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테슬라</w:t>
      </w:r>
      <w:proofErr w:type="spellEnd"/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C5C7F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모델Y</w:t>
      </w:r>
      <w:r w:rsidR="00EC5C7F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선전했다.</w:t>
      </w:r>
      <w:r w:rsidR="00117AB6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17AB6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가솔린 모델인 </w:t>
      </w:r>
      <w:r w:rsidR="00117AB6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‘S9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0’은 압도적인 상품성으로 유럽계 중</w:t>
      </w:r>
      <w:r w:rsidR="00146F8B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46F8B" w:rsidRPr="000812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146F8B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위였고,</w:t>
      </w:r>
      <w:r w:rsidR="00EC5C7F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‘모델Y’는 </w:t>
      </w:r>
      <w:r w:rsidR="00146F8B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 답게 뛰어난 비용대비가치로 미국계 중 </w:t>
      </w:r>
      <w:r w:rsidR="00117AB6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제일 앞섰</w:t>
      </w:r>
      <w:r w:rsidR="00146F8B" w:rsidRPr="000812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530907B6" w14:textId="563FE859" w:rsidR="00B44BE1" w:rsidRDefault="004E3AB3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E3A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컨슈머인사이트가</w:t>
      </w:r>
      <w:proofErr w:type="spellEnd"/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매년 </w:t>
      </w:r>
      <w:r w:rsidRPr="004E3A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선정하는 ‘올해의 차’는 자동차 전문가보다는 직접 차를 구입하고 사용해 온 실소비자의 생생한 평가를 반영해 체험·체감 품질이 가장 우수한 차를 선정한다는 데 큰 의미가 있다.</w:t>
      </w:r>
    </w:p>
    <w:p w14:paraId="6CC18821" w14:textId="5790461C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4DE7E35" w14:textId="769C8F84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F3ABA1B" w14:textId="3B028117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A1F1CC1" w14:textId="469F0A4E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E5B2548" w14:textId="69B217EA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04C6743" w14:textId="3E226DD3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9DC147D" w14:textId="1B0ADB46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A8ADA6F" w14:textId="0BEA8B2D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FE9EF53" w14:textId="0C8F22EA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A3B23BA" w14:textId="79D683AA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585FC95" w14:textId="7037A24A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159D9A3" w14:textId="0EFEF34C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24193C5" w14:textId="77777777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4734992" w14:textId="45DA2F65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12365664" w14:textId="77777777" w:rsidR="00146F8B" w:rsidRDefault="00146F8B" w:rsidP="004E3AB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A93A07" w:rsidRPr="009839BA" w14:paraId="6EC22307" w14:textId="77777777" w:rsidTr="00450E15">
        <w:trPr>
          <w:trHeight w:val="1976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11D69" w14:textId="77777777" w:rsidR="00A93A07" w:rsidRPr="00AE2114" w:rsidRDefault="00A93A07" w:rsidP="003E4374">
            <w:pPr>
              <w:spacing w:after="0" w:line="24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>컨슈머인사이트는</w:t>
            </w:r>
            <w:proofErr w:type="spellEnd"/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비대면조사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u w:val="single" w:color="000000"/>
              </w:rPr>
              <w:t>에</w:t>
            </w:r>
            <w:proofErr w:type="spellEnd"/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효율적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 xml:space="preserve">인 대규모 온라인패널을 통해 자동차, 이동통신, 쇼핑/유통, 관광/여행, 금융 등 다양한 산업에서 요구되는 전문적이고 과학적인 리서치 서비스를 제공하고 있습니다.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다양한 빅데이터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u w:val="single" w:color="000000"/>
              </w:rPr>
              <w:t xml:space="preserve">를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패널 리서치 데이터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u w:val="single" w:color="000000"/>
              </w:rPr>
              <w:t xml:space="preserve">와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융복합 연계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 xml:space="preserve">하여 데이터의 가치를 높이고 이를 다양한 산업에 적용하는 데 집중하고 있습니다. 특히 최근에는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100% 모바일 기반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 xml:space="preserve">으로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전국민 표본 대표성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>을 가진</w:t>
            </w:r>
            <w:r w:rsidRPr="00AE211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조사 플랫폼 '</w:t>
            </w:r>
            <w:proofErr w:type="spellStart"/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국대패널</w:t>
            </w:r>
            <w:proofErr w:type="spellEnd"/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'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 xml:space="preserve">을 </w:t>
            </w:r>
            <w:proofErr w:type="spellStart"/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론칭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>하고</w:t>
            </w:r>
            <w:proofErr w:type="spellEnd"/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 xml:space="preserve"> </w:t>
            </w:r>
            <w:r w:rsidRPr="00AE2114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</w:rPr>
              <w:t>조사업계 누구나 사용할 수 있도록 개방</w:t>
            </w:r>
            <w:r w:rsidRPr="00AE2114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</w:rPr>
              <w:t>했습니다.</w:t>
            </w:r>
          </w:p>
        </w:tc>
      </w:tr>
    </w:tbl>
    <w:p w14:paraId="611124C5" w14:textId="77777777" w:rsidR="00146F8B" w:rsidRDefault="00146F8B" w:rsidP="00C41032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35ED4E4" w14:textId="68CED012" w:rsidR="00146F8B" w:rsidRDefault="00C41032" w:rsidP="00C41032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</w:t>
      </w:r>
      <w:proofErr w:type="spellStart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</w:t>
      </w:r>
      <w:r w:rsidR="007554BB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7554BB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77777777" w:rsidR="00C41032" w:rsidRPr="009839BA" w:rsidRDefault="00C41032" w:rsidP="00C41032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9839BA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-------------------------------------------------------------------------------------------------------------------</w:t>
      </w:r>
    </w:p>
    <w:p w14:paraId="09AE193B" w14:textId="77777777" w:rsidR="00C41032" w:rsidRPr="00BA77C4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BA77C4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BA77C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BA77C4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70576047" w14:textId="77777777" w:rsidR="00C41032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631565B9" w14:textId="77777777" w:rsidR="00C41032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6EC53A2" w14:textId="3D0FC9BD" w:rsidR="00C41032" w:rsidRDefault="007554BB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21BB2DE8" wp14:editId="4C67715C">
            <wp:extent cx="4779815" cy="3009332"/>
            <wp:effectExtent l="0" t="0" r="190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연례 자동차 기획조사 개요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84" cy="308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3721" w14:textId="77777777" w:rsidR="00C41032" w:rsidRDefault="00C41032" w:rsidP="00C41032">
      <w:pPr>
        <w:pStyle w:val="a3"/>
        <w:pBdr>
          <w:bottom w:val="single" w:sz="6" w:space="0" w:color="auto"/>
        </w:pBdr>
      </w:pPr>
    </w:p>
    <w:p w14:paraId="0DBCDF8F" w14:textId="32CB6749" w:rsidR="00C41032" w:rsidRPr="00BA77C4" w:rsidRDefault="00B25E77" w:rsidP="00B25E7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>Copyright © Consumer Insight. All rights reserved.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B25E77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자료의 저작권은 (주)</w:t>
      </w:r>
      <w:proofErr w:type="spellStart"/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>컨슈머인사이트에</w:t>
      </w:r>
      <w:proofErr w:type="spellEnd"/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있으며 언론사의 직접 인용 보도 외의 목적으로 사용할 수 없습니다.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B25E77">
        <w:rPr>
          <w:rFonts w:ascii="맑은 고딕" w:eastAsia="맑은 고딕" w:hAnsi="맑은 고딕" w:cs="굴림" w:hint="eastAsia"/>
          <w:color w:val="000000"/>
          <w:kern w:val="0"/>
          <w:szCs w:val="20"/>
        </w:rPr>
        <w:t>그</w:t>
      </w:r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밖의 인용 및 재배포는 </w:t>
      </w:r>
      <w:proofErr w:type="spellStart"/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>컨슈머인사이트와</w:t>
      </w:r>
      <w:proofErr w:type="spellEnd"/>
      <w:r w:rsidRPr="00B25E7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사전 협의를 거쳐 서면 승낙을 받은 경우에 한합니다.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9839BA" w14:paraId="20CA8D1E" w14:textId="77777777" w:rsidTr="00C6457D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9839BA" w:rsidRDefault="00C41032" w:rsidP="00C6457D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705C90" w:rsidRPr="00175F55" w14:paraId="293A8D64" w14:textId="77777777" w:rsidTr="008B6A0C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B3F470" w14:textId="77777777" w:rsidR="00705C90" w:rsidRPr="00175F55" w:rsidRDefault="00705C90" w:rsidP="008B6A0C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B54999" w14:textId="77777777" w:rsidR="00705C90" w:rsidRPr="00175F55" w:rsidRDefault="00705C90" w:rsidP="008B6A0C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90749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907499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D5556A" w14:textId="77777777" w:rsidR="00705C90" w:rsidRPr="00175F55" w:rsidRDefault="00705C90" w:rsidP="008B6A0C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705C90" w:rsidRPr="00175F55" w14:paraId="0A4A61C4" w14:textId="77777777" w:rsidTr="008B6A0C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4EEC8D" w14:textId="2BDC65B4" w:rsidR="00705C90" w:rsidRPr="00175F55" w:rsidRDefault="00E00EB7" w:rsidP="008B6A0C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정동운 </w:t>
            </w:r>
            <w:r w:rsidR="00705C90" w:rsidRPr="00175F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D5B20A" w14:textId="7A5EC2E6" w:rsidR="00705C90" w:rsidRPr="00175F55" w:rsidRDefault="00E00EB7" w:rsidP="008B6A0C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jungdw</w:t>
            </w:r>
            <w:r w:rsidR="00705C90" w:rsidRPr="00175F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705C90" w:rsidRPr="00175F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705C90" w:rsidRPr="00175F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1C1B27" w14:textId="528B8EC8" w:rsidR="00705C90" w:rsidRPr="00175F55" w:rsidRDefault="00E00EB7" w:rsidP="008B6A0C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2)6004-7616</w:t>
            </w:r>
          </w:p>
        </w:tc>
      </w:tr>
    </w:tbl>
    <w:p w14:paraId="4E3901DF" w14:textId="77777777" w:rsidR="00C41032" w:rsidRDefault="00C41032" w:rsidP="00461B32">
      <w:pPr>
        <w:spacing w:after="0" w:line="240" w:lineRule="auto"/>
      </w:pPr>
    </w:p>
    <w:sectPr w:rsidR="00C41032" w:rsidSect="009839BA">
      <w:head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2D717" w14:textId="77777777" w:rsidR="00A03FD4" w:rsidRDefault="00A03FD4" w:rsidP="009839BA">
      <w:pPr>
        <w:spacing w:after="0" w:line="240" w:lineRule="auto"/>
      </w:pPr>
      <w:r>
        <w:separator/>
      </w:r>
    </w:p>
  </w:endnote>
  <w:endnote w:type="continuationSeparator" w:id="0">
    <w:p w14:paraId="17269CAA" w14:textId="77777777" w:rsidR="00A03FD4" w:rsidRDefault="00A03FD4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F769" w14:textId="77777777" w:rsidR="00A03FD4" w:rsidRDefault="00A03FD4" w:rsidP="009839BA">
      <w:pPr>
        <w:spacing w:after="0" w:line="240" w:lineRule="auto"/>
      </w:pPr>
      <w:r>
        <w:separator/>
      </w:r>
    </w:p>
  </w:footnote>
  <w:footnote w:type="continuationSeparator" w:id="0">
    <w:p w14:paraId="75AE398F" w14:textId="77777777" w:rsidR="00A03FD4" w:rsidRDefault="00A03FD4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610820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610820" w:rsidRPr="009839BA" w:rsidRDefault="00610820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4524F89E" w:rsidR="00610820" w:rsidRPr="009839BA" w:rsidRDefault="00610820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Oct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AF102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22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87750C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4</w:t>
          </w:r>
        </w:p>
      </w:tc>
    </w:tr>
  </w:tbl>
  <w:p w14:paraId="6801B8BD" w14:textId="77777777" w:rsidR="00610820" w:rsidRPr="009839BA" w:rsidRDefault="00610820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527"/>
    <w:multiLevelType w:val="hybridMultilevel"/>
    <w:tmpl w:val="50CAC3C6"/>
    <w:lvl w:ilvl="0" w:tplc="FA705E5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265D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C7E1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C5D0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88A9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21CA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2080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4F74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B26FA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7D70"/>
    <w:rsid w:val="00017BF7"/>
    <w:rsid w:val="000729BE"/>
    <w:rsid w:val="00080396"/>
    <w:rsid w:val="00081258"/>
    <w:rsid w:val="00081E2A"/>
    <w:rsid w:val="000A1AB1"/>
    <w:rsid w:val="000A50CC"/>
    <w:rsid w:val="000C0D48"/>
    <w:rsid w:val="000C129D"/>
    <w:rsid w:val="000C4997"/>
    <w:rsid w:val="000D427C"/>
    <w:rsid w:val="000E0AA1"/>
    <w:rsid w:val="000E3B78"/>
    <w:rsid w:val="000F1F07"/>
    <w:rsid w:val="001025ED"/>
    <w:rsid w:val="001077C2"/>
    <w:rsid w:val="00116AAF"/>
    <w:rsid w:val="00117AB6"/>
    <w:rsid w:val="00131606"/>
    <w:rsid w:val="00146F8B"/>
    <w:rsid w:val="00153B38"/>
    <w:rsid w:val="00167FB6"/>
    <w:rsid w:val="00170F41"/>
    <w:rsid w:val="00173520"/>
    <w:rsid w:val="00176581"/>
    <w:rsid w:val="00180998"/>
    <w:rsid w:val="0018590E"/>
    <w:rsid w:val="00192883"/>
    <w:rsid w:val="0019354E"/>
    <w:rsid w:val="001B5F1B"/>
    <w:rsid w:val="001E3F6B"/>
    <w:rsid w:val="002033BB"/>
    <w:rsid w:val="00204307"/>
    <w:rsid w:val="00210C18"/>
    <w:rsid w:val="00210D1C"/>
    <w:rsid w:val="00212776"/>
    <w:rsid w:val="0021779A"/>
    <w:rsid w:val="00217D8E"/>
    <w:rsid w:val="00221DEE"/>
    <w:rsid w:val="00222CEA"/>
    <w:rsid w:val="002256C5"/>
    <w:rsid w:val="00231EC3"/>
    <w:rsid w:val="002336A7"/>
    <w:rsid w:val="002344C6"/>
    <w:rsid w:val="00241EA3"/>
    <w:rsid w:val="00243E13"/>
    <w:rsid w:val="00245EC4"/>
    <w:rsid w:val="00252E0B"/>
    <w:rsid w:val="0025552B"/>
    <w:rsid w:val="002571DB"/>
    <w:rsid w:val="0026185F"/>
    <w:rsid w:val="0027263C"/>
    <w:rsid w:val="00273CCB"/>
    <w:rsid w:val="002742A9"/>
    <w:rsid w:val="002746D3"/>
    <w:rsid w:val="002805A6"/>
    <w:rsid w:val="002827E8"/>
    <w:rsid w:val="002904CA"/>
    <w:rsid w:val="00297C64"/>
    <w:rsid w:val="002A0BB1"/>
    <w:rsid w:val="002A51F5"/>
    <w:rsid w:val="002A6117"/>
    <w:rsid w:val="002A63F7"/>
    <w:rsid w:val="002A7233"/>
    <w:rsid w:val="002B5439"/>
    <w:rsid w:val="002B5BB0"/>
    <w:rsid w:val="002C6D50"/>
    <w:rsid w:val="002D1010"/>
    <w:rsid w:val="002D21FE"/>
    <w:rsid w:val="002D27E9"/>
    <w:rsid w:val="002E1C98"/>
    <w:rsid w:val="002E1F29"/>
    <w:rsid w:val="002F3F1F"/>
    <w:rsid w:val="00305833"/>
    <w:rsid w:val="00320D57"/>
    <w:rsid w:val="00325556"/>
    <w:rsid w:val="0034663C"/>
    <w:rsid w:val="00354880"/>
    <w:rsid w:val="00362654"/>
    <w:rsid w:val="00366F41"/>
    <w:rsid w:val="00370DC6"/>
    <w:rsid w:val="00372402"/>
    <w:rsid w:val="003A1791"/>
    <w:rsid w:val="003C2F75"/>
    <w:rsid w:val="003C6B32"/>
    <w:rsid w:val="003D358C"/>
    <w:rsid w:val="003E0045"/>
    <w:rsid w:val="003E4374"/>
    <w:rsid w:val="003E68BF"/>
    <w:rsid w:val="003F0690"/>
    <w:rsid w:val="003F7684"/>
    <w:rsid w:val="00421F21"/>
    <w:rsid w:val="00422A7D"/>
    <w:rsid w:val="00426413"/>
    <w:rsid w:val="004340DC"/>
    <w:rsid w:val="00434D92"/>
    <w:rsid w:val="00442029"/>
    <w:rsid w:val="00444DF7"/>
    <w:rsid w:val="004469C0"/>
    <w:rsid w:val="00450E15"/>
    <w:rsid w:val="00451725"/>
    <w:rsid w:val="00454F2A"/>
    <w:rsid w:val="00456B1F"/>
    <w:rsid w:val="00460CD8"/>
    <w:rsid w:val="00461402"/>
    <w:rsid w:val="00461B32"/>
    <w:rsid w:val="00480CE5"/>
    <w:rsid w:val="0048198B"/>
    <w:rsid w:val="0048670F"/>
    <w:rsid w:val="004868AF"/>
    <w:rsid w:val="00490D45"/>
    <w:rsid w:val="004A7D35"/>
    <w:rsid w:val="004B4E1A"/>
    <w:rsid w:val="004C6BE8"/>
    <w:rsid w:val="004D0B80"/>
    <w:rsid w:val="004D29BD"/>
    <w:rsid w:val="004E1686"/>
    <w:rsid w:val="004E3AB3"/>
    <w:rsid w:val="004E6AB3"/>
    <w:rsid w:val="004F003B"/>
    <w:rsid w:val="004F2A08"/>
    <w:rsid w:val="004F59B5"/>
    <w:rsid w:val="004F7A2F"/>
    <w:rsid w:val="0050055A"/>
    <w:rsid w:val="00500A30"/>
    <w:rsid w:val="005074A8"/>
    <w:rsid w:val="00517C7C"/>
    <w:rsid w:val="00522B7F"/>
    <w:rsid w:val="005460C4"/>
    <w:rsid w:val="00550F90"/>
    <w:rsid w:val="00557BF8"/>
    <w:rsid w:val="005600A2"/>
    <w:rsid w:val="005639B6"/>
    <w:rsid w:val="00564B1C"/>
    <w:rsid w:val="00576E12"/>
    <w:rsid w:val="00577ADF"/>
    <w:rsid w:val="00586AC1"/>
    <w:rsid w:val="005B24AF"/>
    <w:rsid w:val="005B306E"/>
    <w:rsid w:val="005B6D77"/>
    <w:rsid w:val="005C0A41"/>
    <w:rsid w:val="005C1A38"/>
    <w:rsid w:val="005C4B63"/>
    <w:rsid w:val="005D04B8"/>
    <w:rsid w:val="005D0EBA"/>
    <w:rsid w:val="005D3C2E"/>
    <w:rsid w:val="005E0B84"/>
    <w:rsid w:val="00601099"/>
    <w:rsid w:val="00604F9F"/>
    <w:rsid w:val="00606C7C"/>
    <w:rsid w:val="006079FD"/>
    <w:rsid w:val="00610277"/>
    <w:rsid w:val="0061039D"/>
    <w:rsid w:val="00610820"/>
    <w:rsid w:val="00615E5A"/>
    <w:rsid w:val="00616CE7"/>
    <w:rsid w:val="00622DC4"/>
    <w:rsid w:val="0064688A"/>
    <w:rsid w:val="0066258C"/>
    <w:rsid w:val="00674AEA"/>
    <w:rsid w:val="00683EE8"/>
    <w:rsid w:val="00690539"/>
    <w:rsid w:val="006923F5"/>
    <w:rsid w:val="0069246F"/>
    <w:rsid w:val="006A22DA"/>
    <w:rsid w:val="006A36A9"/>
    <w:rsid w:val="006A4706"/>
    <w:rsid w:val="006A7DD5"/>
    <w:rsid w:val="006B01E3"/>
    <w:rsid w:val="006B2636"/>
    <w:rsid w:val="006B3B93"/>
    <w:rsid w:val="006C0EAF"/>
    <w:rsid w:val="006C401D"/>
    <w:rsid w:val="006C6C48"/>
    <w:rsid w:val="006D115C"/>
    <w:rsid w:val="006D45B1"/>
    <w:rsid w:val="006D52A9"/>
    <w:rsid w:val="006E0925"/>
    <w:rsid w:val="006E0A0E"/>
    <w:rsid w:val="006E10FE"/>
    <w:rsid w:val="006E6FD3"/>
    <w:rsid w:val="007028EF"/>
    <w:rsid w:val="0070338B"/>
    <w:rsid w:val="00705C90"/>
    <w:rsid w:val="007250B5"/>
    <w:rsid w:val="00727326"/>
    <w:rsid w:val="00744838"/>
    <w:rsid w:val="00752AF6"/>
    <w:rsid w:val="007554BB"/>
    <w:rsid w:val="007620A5"/>
    <w:rsid w:val="00776D63"/>
    <w:rsid w:val="007803B6"/>
    <w:rsid w:val="0078193A"/>
    <w:rsid w:val="00785017"/>
    <w:rsid w:val="0079430F"/>
    <w:rsid w:val="0079503A"/>
    <w:rsid w:val="007A4E01"/>
    <w:rsid w:val="007A6292"/>
    <w:rsid w:val="007C1813"/>
    <w:rsid w:val="007C4703"/>
    <w:rsid w:val="007D459F"/>
    <w:rsid w:val="007F75D4"/>
    <w:rsid w:val="00827C30"/>
    <w:rsid w:val="00827F0E"/>
    <w:rsid w:val="008319C1"/>
    <w:rsid w:val="00834B6A"/>
    <w:rsid w:val="0086549B"/>
    <w:rsid w:val="00866927"/>
    <w:rsid w:val="008747F3"/>
    <w:rsid w:val="00874D5C"/>
    <w:rsid w:val="008750E1"/>
    <w:rsid w:val="0087750C"/>
    <w:rsid w:val="008A20D1"/>
    <w:rsid w:val="008A22C5"/>
    <w:rsid w:val="008B3779"/>
    <w:rsid w:val="008C4A9F"/>
    <w:rsid w:val="008D46E0"/>
    <w:rsid w:val="008E0E21"/>
    <w:rsid w:val="008E14DF"/>
    <w:rsid w:val="008F579D"/>
    <w:rsid w:val="00904F6A"/>
    <w:rsid w:val="00916483"/>
    <w:rsid w:val="00924E5E"/>
    <w:rsid w:val="00927CA6"/>
    <w:rsid w:val="009321EE"/>
    <w:rsid w:val="0093554B"/>
    <w:rsid w:val="00936B70"/>
    <w:rsid w:val="0093702D"/>
    <w:rsid w:val="0094364F"/>
    <w:rsid w:val="009470D7"/>
    <w:rsid w:val="00961552"/>
    <w:rsid w:val="00963CB8"/>
    <w:rsid w:val="00971713"/>
    <w:rsid w:val="009735D3"/>
    <w:rsid w:val="0097587D"/>
    <w:rsid w:val="00977036"/>
    <w:rsid w:val="009839BA"/>
    <w:rsid w:val="009847E9"/>
    <w:rsid w:val="009848A3"/>
    <w:rsid w:val="00985A8E"/>
    <w:rsid w:val="009911DA"/>
    <w:rsid w:val="009B0D92"/>
    <w:rsid w:val="009B2DEC"/>
    <w:rsid w:val="009B447E"/>
    <w:rsid w:val="009B7FDE"/>
    <w:rsid w:val="009C1297"/>
    <w:rsid w:val="009D6041"/>
    <w:rsid w:val="009D69CD"/>
    <w:rsid w:val="009F09CA"/>
    <w:rsid w:val="009F7A91"/>
    <w:rsid w:val="00A03FD4"/>
    <w:rsid w:val="00A06957"/>
    <w:rsid w:val="00A06FC0"/>
    <w:rsid w:val="00A14EC2"/>
    <w:rsid w:val="00A16036"/>
    <w:rsid w:val="00A3380A"/>
    <w:rsid w:val="00A4134D"/>
    <w:rsid w:val="00A438AF"/>
    <w:rsid w:val="00A50EF2"/>
    <w:rsid w:val="00A512CD"/>
    <w:rsid w:val="00A7076B"/>
    <w:rsid w:val="00A72878"/>
    <w:rsid w:val="00A72E29"/>
    <w:rsid w:val="00A7675C"/>
    <w:rsid w:val="00A93990"/>
    <w:rsid w:val="00A93A07"/>
    <w:rsid w:val="00A93E30"/>
    <w:rsid w:val="00A96397"/>
    <w:rsid w:val="00AA0E79"/>
    <w:rsid w:val="00AA1D6D"/>
    <w:rsid w:val="00AA2579"/>
    <w:rsid w:val="00AA4BBC"/>
    <w:rsid w:val="00AB5511"/>
    <w:rsid w:val="00AD1B54"/>
    <w:rsid w:val="00AD389E"/>
    <w:rsid w:val="00AD3D98"/>
    <w:rsid w:val="00AE4142"/>
    <w:rsid w:val="00AE46E3"/>
    <w:rsid w:val="00AF1024"/>
    <w:rsid w:val="00B163AF"/>
    <w:rsid w:val="00B20127"/>
    <w:rsid w:val="00B21F34"/>
    <w:rsid w:val="00B236E2"/>
    <w:rsid w:val="00B25E77"/>
    <w:rsid w:val="00B36265"/>
    <w:rsid w:val="00B37B22"/>
    <w:rsid w:val="00B41877"/>
    <w:rsid w:val="00B4238A"/>
    <w:rsid w:val="00B447E0"/>
    <w:rsid w:val="00B44BE1"/>
    <w:rsid w:val="00B57425"/>
    <w:rsid w:val="00B63338"/>
    <w:rsid w:val="00B66A42"/>
    <w:rsid w:val="00B77F3B"/>
    <w:rsid w:val="00B90FD3"/>
    <w:rsid w:val="00B93B1B"/>
    <w:rsid w:val="00B9580A"/>
    <w:rsid w:val="00BA20F5"/>
    <w:rsid w:val="00BA77C4"/>
    <w:rsid w:val="00BC3128"/>
    <w:rsid w:val="00BC6F40"/>
    <w:rsid w:val="00BD3F6E"/>
    <w:rsid w:val="00BF7217"/>
    <w:rsid w:val="00C05F3E"/>
    <w:rsid w:val="00C06CA1"/>
    <w:rsid w:val="00C1291D"/>
    <w:rsid w:val="00C216FA"/>
    <w:rsid w:val="00C27792"/>
    <w:rsid w:val="00C31A34"/>
    <w:rsid w:val="00C33659"/>
    <w:rsid w:val="00C3498E"/>
    <w:rsid w:val="00C41032"/>
    <w:rsid w:val="00C4138E"/>
    <w:rsid w:val="00C4237C"/>
    <w:rsid w:val="00C476A7"/>
    <w:rsid w:val="00C534EF"/>
    <w:rsid w:val="00C56228"/>
    <w:rsid w:val="00C6457D"/>
    <w:rsid w:val="00C742D5"/>
    <w:rsid w:val="00C765E6"/>
    <w:rsid w:val="00C800EC"/>
    <w:rsid w:val="00C80674"/>
    <w:rsid w:val="00C815AA"/>
    <w:rsid w:val="00C83A49"/>
    <w:rsid w:val="00C84599"/>
    <w:rsid w:val="00C86E49"/>
    <w:rsid w:val="00C96E6A"/>
    <w:rsid w:val="00CA65B2"/>
    <w:rsid w:val="00CA7E70"/>
    <w:rsid w:val="00CB0716"/>
    <w:rsid w:val="00CB29FE"/>
    <w:rsid w:val="00CB4654"/>
    <w:rsid w:val="00CD52F5"/>
    <w:rsid w:val="00CE3579"/>
    <w:rsid w:val="00CE519C"/>
    <w:rsid w:val="00D0480C"/>
    <w:rsid w:val="00D14017"/>
    <w:rsid w:val="00D15552"/>
    <w:rsid w:val="00D22B0D"/>
    <w:rsid w:val="00D47409"/>
    <w:rsid w:val="00D5299C"/>
    <w:rsid w:val="00D66834"/>
    <w:rsid w:val="00D71BA5"/>
    <w:rsid w:val="00D82E4A"/>
    <w:rsid w:val="00DA3D45"/>
    <w:rsid w:val="00DB06B0"/>
    <w:rsid w:val="00DB4D3A"/>
    <w:rsid w:val="00DB55D8"/>
    <w:rsid w:val="00DB5908"/>
    <w:rsid w:val="00DC3DE4"/>
    <w:rsid w:val="00DC40F0"/>
    <w:rsid w:val="00DC47ED"/>
    <w:rsid w:val="00DD2567"/>
    <w:rsid w:val="00DD7344"/>
    <w:rsid w:val="00DE156C"/>
    <w:rsid w:val="00DE278A"/>
    <w:rsid w:val="00DF0212"/>
    <w:rsid w:val="00DF57D6"/>
    <w:rsid w:val="00DF6887"/>
    <w:rsid w:val="00E00EB7"/>
    <w:rsid w:val="00E03D13"/>
    <w:rsid w:val="00E22587"/>
    <w:rsid w:val="00E24AA0"/>
    <w:rsid w:val="00E43F51"/>
    <w:rsid w:val="00E44DBC"/>
    <w:rsid w:val="00E4626A"/>
    <w:rsid w:val="00E56437"/>
    <w:rsid w:val="00E71D1E"/>
    <w:rsid w:val="00E7277A"/>
    <w:rsid w:val="00E76DEA"/>
    <w:rsid w:val="00E858AA"/>
    <w:rsid w:val="00E91CA4"/>
    <w:rsid w:val="00E91EB8"/>
    <w:rsid w:val="00E95CB8"/>
    <w:rsid w:val="00E965D3"/>
    <w:rsid w:val="00E97219"/>
    <w:rsid w:val="00EA635E"/>
    <w:rsid w:val="00EB3298"/>
    <w:rsid w:val="00EB3AAE"/>
    <w:rsid w:val="00EC1E87"/>
    <w:rsid w:val="00EC254C"/>
    <w:rsid w:val="00EC4A62"/>
    <w:rsid w:val="00EC5C7F"/>
    <w:rsid w:val="00ED268D"/>
    <w:rsid w:val="00ED52AF"/>
    <w:rsid w:val="00EF4E7F"/>
    <w:rsid w:val="00F04813"/>
    <w:rsid w:val="00F13154"/>
    <w:rsid w:val="00F15E37"/>
    <w:rsid w:val="00F209FA"/>
    <w:rsid w:val="00F30C39"/>
    <w:rsid w:val="00F34D66"/>
    <w:rsid w:val="00F654D6"/>
    <w:rsid w:val="00F7119C"/>
    <w:rsid w:val="00F71A0A"/>
    <w:rsid w:val="00F7746E"/>
    <w:rsid w:val="00F87D80"/>
    <w:rsid w:val="00F91E3D"/>
    <w:rsid w:val="00F94032"/>
    <w:rsid w:val="00FA00DC"/>
    <w:rsid w:val="00FB4CE3"/>
    <w:rsid w:val="00FC6CF3"/>
    <w:rsid w:val="00FD5622"/>
    <w:rsid w:val="00FE5474"/>
    <w:rsid w:val="00FE73D4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chartTrackingRefBased/>
  <w15:docId w15:val="{C6C19BE5-4C29-48D5-8A38-DC201E5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F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BCCB-E06C-4E91-B612-F032AD22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chowk</cp:lastModifiedBy>
  <cp:revision>4</cp:revision>
  <cp:lastPrinted>2023-10-06T03:38:00Z</cp:lastPrinted>
  <dcterms:created xsi:type="dcterms:W3CDTF">2024-10-17T09:04:00Z</dcterms:created>
  <dcterms:modified xsi:type="dcterms:W3CDTF">2024-10-18T00:03:00Z</dcterms:modified>
</cp:coreProperties>
</file>